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z w:val="44"/>
          <w:szCs w:val="44"/>
          <w:lang w:eastAsia="zh-CN"/>
        </w:rPr>
        <w:t>农村村民住宅建设规划许可（乡镇权限）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w:t>
      </w:r>
      <w:r>
        <w:rPr>
          <w:rFonts w:hint="eastAsia" w:ascii="仿宋_GB2312" w:hAnsi="仿宋_GB2312" w:eastAsia="仿宋_GB2312" w:cs="仿宋_GB2312"/>
          <w:b/>
          <w:bCs/>
          <w:strike w:val="0"/>
          <w:dstrike w:val="0"/>
          <w:color w:val="auto"/>
          <w:sz w:val="32"/>
          <w:szCs w:val="32"/>
          <w:lang w:val="en-US"/>
        </w:rPr>
        <w:t>行政许可事项名称</w:t>
      </w:r>
      <w:r>
        <w:rPr>
          <w:rFonts w:hint="eastAsia" w:ascii="仿宋_GB2312" w:hAnsi="仿宋_GB2312" w:eastAsia="仿宋_GB2312" w:cs="仿宋_GB2312"/>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乡村建设规划许可</w:t>
      </w:r>
      <w:r>
        <w:rPr>
          <w:rFonts w:hint="eastAsia" w:ascii="仿宋_GB2312" w:hAnsi="仿宋_GB2312" w:eastAsia="仿宋_GB2312" w:cs="仿宋_GB2312"/>
          <w:strike w:val="0"/>
          <w:dstrike w:val="0"/>
          <w:sz w:val="32"/>
          <w:szCs w:val="32"/>
          <w:lang w:val="en-US" w:eastAsia="zh-CN"/>
        </w:rPr>
        <w:t>【</w:t>
      </w:r>
      <w:r>
        <w:rPr>
          <w:rFonts w:hint="eastAsia" w:ascii="仿宋_GB2312" w:hAnsi="仿宋_GB2312" w:eastAsia="仿宋_GB2312" w:cs="仿宋_GB2312"/>
          <w:strike w:val="0"/>
          <w:dstrike w:val="0"/>
          <w:sz w:val="32"/>
          <w:szCs w:val="32"/>
          <w:lang w:val="en-US"/>
        </w:rPr>
        <w:t>00011513400Y</w:t>
      </w:r>
      <w:r>
        <w:rPr>
          <w:rFonts w:hint="eastAsia" w:ascii="仿宋_GB2312" w:hAnsi="仿宋_GB2312" w:eastAsia="仿宋_GB2312" w:cs="仿宋_GB2312"/>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农村村民住宅建设规划许可（</w:t>
      </w:r>
      <w:r>
        <w:rPr>
          <w:rFonts w:hint="eastAsia" w:ascii="仿宋_GB2312" w:hAnsi="仿宋_GB2312" w:eastAsia="仿宋_GB2312" w:cs="仿宋_GB2312"/>
          <w:strike w:val="0"/>
          <w:dstrike w:val="0"/>
          <w:sz w:val="32"/>
          <w:szCs w:val="32"/>
          <w:lang w:val="en-US" w:eastAsia="zh-CN"/>
        </w:rPr>
        <w:t>乡镇</w:t>
      </w:r>
      <w:r>
        <w:rPr>
          <w:rFonts w:hint="eastAsia" w:ascii="仿宋_GB2312" w:hAnsi="仿宋_GB2312" w:eastAsia="仿宋_GB2312" w:cs="仿宋_GB2312"/>
          <w:strike w:val="0"/>
          <w:dstrike w:val="0"/>
          <w:sz w:val="32"/>
          <w:szCs w:val="32"/>
          <w:lang w:val="en-US"/>
        </w:rPr>
        <w:t>权限）【00011513400</w:t>
      </w:r>
      <w:r>
        <w:rPr>
          <w:rFonts w:hint="eastAsia" w:ascii="仿宋_GB2312" w:hAnsi="仿宋_GB2312" w:eastAsia="仿宋_GB2312" w:cs="仿宋_GB2312"/>
          <w:strike w:val="0"/>
          <w:dstrike w:val="0"/>
          <w:sz w:val="32"/>
          <w:szCs w:val="32"/>
          <w:lang w:val="en-US" w:eastAsia="zh-CN"/>
        </w:rPr>
        <w:t>7</w:t>
      </w:r>
      <w:r>
        <w:rPr>
          <w:rFonts w:hint="eastAsia" w:ascii="仿宋_GB2312" w:hAnsi="仿宋_GB2312" w:eastAsia="仿宋_GB2312" w:cs="仿宋_GB2312"/>
          <w:strike w:val="0"/>
          <w:dstrike w:val="0"/>
          <w:sz w:val="32"/>
          <w:szCs w:val="32"/>
          <w:lang w:val="en-US"/>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农村村民住宅建设规划许可（</w:t>
      </w:r>
      <w:r>
        <w:rPr>
          <w:rFonts w:hint="eastAsia" w:ascii="仿宋_GB2312" w:hAnsi="仿宋_GB2312" w:eastAsia="仿宋_GB2312" w:cs="仿宋_GB2312"/>
          <w:strike w:val="0"/>
          <w:dstrike w:val="0"/>
          <w:sz w:val="32"/>
          <w:szCs w:val="32"/>
          <w:lang w:val="en-US" w:eastAsia="zh-CN"/>
        </w:rPr>
        <w:t>乡镇</w:t>
      </w:r>
      <w:r>
        <w:rPr>
          <w:rFonts w:hint="eastAsia" w:ascii="仿宋_GB2312" w:hAnsi="仿宋_GB2312" w:eastAsia="仿宋_GB2312" w:cs="仿宋_GB2312"/>
          <w:strike w:val="0"/>
          <w:dstrike w:val="0"/>
          <w:sz w:val="32"/>
          <w:szCs w:val="32"/>
          <w:lang w:val="en-US"/>
        </w:rPr>
        <w:t>权限）【00011513400</w:t>
      </w:r>
      <w:r>
        <w:rPr>
          <w:rFonts w:hint="eastAsia" w:ascii="仿宋_GB2312" w:hAnsi="仿宋_GB2312" w:eastAsia="仿宋_GB2312" w:cs="仿宋_GB2312"/>
          <w:strike w:val="0"/>
          <w:dstrike w:val="0"/>
          <w:sz w:val="32"/>
          <w:szCs w:val="32"/>
          <w:lang w:val="en-US" w:eastAsia="zh-CN"/>
        </w:rPr>
        <w:t>7</w:t>
      </w:r>
      <w:r>
        <w:rPr>
          <w:rFonts w:hint="eastAsia" w:ascii="仿宋_GB2312" w:hAnsi="仿宋_GB2312" w:eastAsia="仿宋_GB2312" w:cs="仿宋_GB2312"/>
          <w:strike w:val="0"/>
          <w:dstrike w:val="0"/>
          <w:sz w:val="32"/>
          <w:szCs w:val="32"/>
          <w:lang w:val="en-US"/>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（3）《中华人民共和国土地管理法》第六十二条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（4）</w:t>
      </w:r>
      <w:r>
        <w:rPr>
          <w:rFonts w:hint="eastAsia" w:ascii="仿宋_GB2312" w:hAnsi="仿宋_GB2312" w:eastAsia="仿宋_GB2312" w:cs="仿宋_GB2312"/>
          <w:b w:val="0"/>
          <w:bCs w:val="0"/>
          <w:strike w:val="0"/>
          <w:dstrike w:val="0"/>
          <w:color w:val="auto"/>
          <w:sz w:val="32"/>
          <w:szCs w:val="32"/>
          <w:lang w:val="en-US" w:eastAsia="zh-CN"/>
        </w:rPr>
        <w:t>《中华人民共和国长江保护法》第二十条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（5）《中华人民共和国黄河保护法》第二十五条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w:t>
      </w:r>
      <w:r>
        <w:rPr>
          <w:rFonts w:hint="eastAsia" w:ascii="仿宋_GB2312" w:hAnsi="仿宋_GB2312" w:eastAsia="仿宋_GB2312" w:cs="仿宋_GB2312"/>
          <w:strike w:val="0"/>
          <w:dstrike w:val="0"/>
          <w:sz w:val="32"/>
          <w:szCs w:val="32"/>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lang w:val="en-US" w:eastAsia="zh-CN"/>
        </w:rPr>
      </w:pPr>
      <w:r>
        <w:rPr>
          <w:rFonts w:hint="eastAsia" w:ascii="仿宋_GB2312" w:hAnsi="仿宋_GB2312" w:eastAsia="仿宋_GB2312" w:cs="仿宋_GB2312"/>
          <w:b w:val="0"/>
          <w:bCs w:val="0"/>
          <w:strike w:val="0"/>
          <w:dstrike w:val="0"/>
          <w:color w:val="auto"/>
          <w:sz w:val="32"/>
          <w:szCs w:val="32"/>
          <w:lang w:val="en-US" w:eastAsia="zh-CN"/>
        </w:rPr>
        <w:t>（7）《中共中央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（3）《中华人民共和国城乡规划法》第六十五条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7.实施机关：</w:t>
      </w:r>
      <w:r>
        <w:rPr>
          <w:rFonts w:hint="eastAsia" w:ascii="仿宋_GB2312" w:hAnsi="仿宋_GB2312" w:eastAsia="仿宋_GB2312" w:cs="仿宋_GB2312"/>
          <w:b w:val="0"/>
          <w:bCs w:val="0"/>
          <w:strike w:val="0"/>
          <w:dstrike w:val="0"/>
          <w:color w:val="auto"/>
          <w:sz w:val="32"/>
          <w:szCs w:val="32"/>
          <w:lang w:val="en-US" w:eastAsia="zh-CN"/>
        </w:rPr>
        <w:t>乡镇政府</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8.审批层级：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9.行使层级：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10.是否由审批机关受理：</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11.受理层级：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12.是否存在初审环节：</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highlight w:val="none"/>
          <w:lang w:val="en-US" w:eastAsia="zh-CN"/>
        </w:rPr>
        <w:t>13.初审层级：</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14.对应政务服务事项国家级基本目录名称：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乡村建设规划许可证核发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15.要素统一情况：</w:t>
      </w:r>
      <w:r>
        <w:rPr>
          <w:rFonts w:hint="eastAsia" w:ascii="仿宋_GB2312" w:hAnsi="仿宋_GB2312" w:eastAsia="仿宋_GB2312" w:cs="仿宋_GB2312"/>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（1）在乡、其他镇和村庄规划区内进行农村住房建设的；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（2）符合国土空间规划；</w:t>
      </w:r>
      <w:bookmarkStart w:id="1" w:name="_GoBack"/>
      <w:bookmarkEnd w:id="1"/>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（3）土地界址、地类、面积属实且清晰，权属无争议。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《云南省城乡规划条例》第三十条  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乡、镇人民政府应当在受理申请后20日内作出决定。符合条件和标准的，由乡、镇人民政府核发乡村建设规划许可证；不符合条件和标准的，书面告知申请人并说明不予许可的理由。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四、</w:t>
      </w:r>
      <w:r>
        <w:rPr>
          <w:rFonts w:hint="default" w:ascii="Times New Roman" w:hAnsi="Times New Roman" w:eastAsia="黑体" w:cs="Times New Roman"/>
          <w:b w:val="0"/>
          <w:bCs w:val="0"/>
          <w:strike w:val="0"/>
          <w:dstrike w:val="0"/>
          <w:color w:val="auto"/>
          <w:sz w:val="32"/>
          <w:szCs w:val="32"/>
          <w:lang w:val="en-US" w:eastAsia="zh-CN"/>
        </w:rPr>
        <w:t>行政许可服务对象类型</w:t>
      </w:r>
      <w:r>
        <w:rPr>
          <w:rFonts w:hint="eastAsia" w:ascii="Times New Roman" w:hAnsi="Times New Roman" w:eastAsia="黑体" w:cs="Times New Roman"/>
          <w:b w:val="0"/>
          <w:bCs w:val="0"/>
          <w:strike w:val="0"/>
          <w:dstrike w:val="0"/>
          <w:color w:val="auto"/>
          <w:sz w:val="32"/>
          <w:szCs w:val="32"/>
          <w:lang w:val="en-US" w:eastAsia="zh-CN"/>
        </w:rPr>
        <w:t>与改革举措</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自然人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6.具体改革举措：</w:t>
      </w:r>
      <w:r>
        <w:rPr>
          <w:rFonts w:hint="eastAsia" w:ascii="仿宋_GB2312" w:hAnsi="仿宋_GB2312" w:eastAsia="仿宋_GB2312" w:cs="仿宋_GB2312"/>
          <w:b w:val="0"/>
          <w:bCs w:val="0"/>
          <w:strike w:val="0"/>
          <w:dstrike w:val="0"/>
          <w:color w:val="auto"/>
          <w:sz w:val="32"/>
          <w:szCs w:val="32"/>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7个工作日内，将乡村建设规划许可证通过适当方式向社会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（2）依法严格开展验收、核实。按照《农业农村部 自然资源部关于规范农村宅基地审批管理的通知》（农经发〔2019〕6号）规定，严格用地建房全过程管理，做好农村宅基地建房验收。地方自然资源主管部门应完善乡镇企业、乡村公共设施和公益事业建设核实规定，严格核实项目建设是否符合乡村建设规划许可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（2）房屋用地四至图及房屋设计方案或简要设计说明;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bookmarkStart w:id="0" w:name="_Toc26320"/>
      <w:r>
        <w:rPr>
          <w:rFonts w:hint="eastAsia" w:ascii="仿宋_GB2312" w:hAnsi="仿宋_GB2312" w:eastAsia="仿宋_GB2312" w:cs="仿宋_GB2312"/>
          <w:b w:val="0"/>
          <w:bCs w:val="0"/>
          <w:strike w:val="0"/>
          <w:dstrike w:val="0"/>
          <w:color w:val="auto"/>
          <w:sz w:val="32"/>
          <w:szCs w:val="32"/>
          <w:lang w:val="en-US" w:eastAsia="zh-CN"/>
        </w:rPr>
        <w:t>（3）申请人身份证、户口簿复印件;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（4）经村民会议讨论同意、村委会签署的意见。</w:t>
      </w:r>
      <w:bookmarkEnd w:id="0"/>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《云南省城乡规划条例》第三十条  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乡、镇人民政府应当在受理申请后20日内作出决定。符合条件和标准的，由乡、镇人民政府核发乡村建设规划许可证；不符合条件和标准的，书面告知申请人并说明不予许可的理由。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（3）审批机构审查。涉及需进行现场勘查、专家评审、听证、委托服务机构开展技术性服务的，按有关规定组织实施。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3.是否需要现场勘验：</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4.是否需要组织听证：</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6.是否需要检验、检测、检疫：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8.是否需要专家评审：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9.是否需要向社会公示：</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10.是否实行告知承诺办理：</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sz w:val="32"/>
          <w:szCs w:val="32"/>
        </w:rPr>
      </w:pPr>
      <w:r>
        <w:rPr>
          <w:rFonts w:hint="eastAsia" w:ascii="仿宋_GB2312" w:hAnsi="仿宋_GB2312" w:eastAsia="仿宋_GB2312" w:cs="仿宋_GB2312"/>
          <w:b/>
          <w:bCs/>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4.承诺审批时限：</w:t>
      </w:r>
      <w:r>
        <w:rPr>
          <w:rFonts w:hint="eastAsia" w:ascii="仿宋_GB2312" w:hAnsi="仿宋_GB2312" w:eastAsia="仿宋_GB2312" w:cs="仿宋_GB2312"/>
          <w:b w:val="0"/>
          <w:bCs w:val="0"/>
          <w:strike w:val="0"/>
          <w:dstrike w:val="0"/>
          <w:color w:val="auto"/>
          <w:sz w:val="32"/>
          <w:szCs w:val="32"/>
          <w:lang w:val="en-US" w:eastAsia="zh-CN"/>
        </w:rPr>
        <w:t>8个工作日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FF000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2.收费项目的名称、收费项目的标准、设定收费项目的依据、规定收费标准的依据：</w:t>
      </w:r>
      <w:r>
        <w:rPr>
          <w:rFonts w:hint="eastAsia" w:ascii="仿宋_GB2312" w:hAnsi="仿宋_GB2312" w:eastAsia="仿宋_GB2312" w:cs="仿宋_GB2312"/>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1.审批结果类型：</w:t>
      </w:r>
      <w:r>
        <w:rPr>
          <w:rFonts w:hint="eastAsia" w:ascii="仿宋_GB2312" w:hAnsi="仿宋_GB2312" w:eastAsia="仿宋_GB2312" w:cs="仿宋_GB2312"/>
          <w:b w:val="0"/>
          <w:bCs w:val="0"/>
          <w:strike w:val="0"/>
          <w:dstrike w:val="0"/>
          <w:color w:val="auto"/>
          <w:sz w:val="32"/>
          <w:szCs w:val="32"/>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2.审批结果名称：</w:t>
      </w:r>
      <w:r>
        <w:rPr>
          <w:rFonts w:hint="eastAsia" w:ascii="仿宋_GB2312" w:hAnsi="仿宋_GB2312" w:eastAsia="仿宋_GB2312" w:cs="仿宋_GB2312"/>
          <w:b w:val="0"/>
          <w:bCs w:val="0"/>
          <w:strike w:val="0"/>
          <w:dstrike w:val="0"/>
          <w:color w:val="auto"/>
          <w:sz w:val="32"/>
          <w:szCs w:val="32"/>
          <w:lang w:val="en-US" w:eastAsia="zh-CN"/>
        </w:rPr>
        <w:t>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3.审批结果的有效期限：</w:t>
      </w:r>
      <w:r>
        <w:rPr>
          <w:rFonts w:hint="eastAsia" w:ascii="仿宋_GB2312" w:hAnsi="仿宋_GB2312" w:eastAsia="仿宋_GB2312" w:cs="仿宋_GB2312"/>
          <w:b w:val="0"/>
          <w:bCs w:val="0"/>
          <w:strike w:val="0"/>
          <w:dstrike w:val="0"/>
          <w:color w:val="auto"/>
          <w:sz w:val="32"/>
          <w:szCs w:val="32"/>
          <w:lang w:val="en-US" w:eastAsia="zh-CN"/>
        </w:rPr>
        <w:t>2年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4.规定审批结果有效期限的依据：</w:t>
      </w:r>
      <w:r>
        <w:rPr>
          <w:rFonts w:hint="eastAsia" w:ascii="仿宋_GB2312" w:hAnsi="仿宋_GB2312" w:eastAsia="仿宋_GB2312" w:cs="仿宋_GB2312"/>
          <w:b w:val="0"/>
          <w:bCs w:val="0"/>
          <w:strike w:val="0"/>
          <w:dstrike w:val="0"/>
          <w:color w:val="auto"/>
          <w:sz w:val="32"/>
          <w:szCs w:val="32"/>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二)因历史文化古迹保护，地质灾害防治和基础设施、市政设施、公共服务设施的建设需要，以及其他涉及公共利益原因，造成地块范围和建设条件发生变化，无法按照原规划许可进行建设的;(三)因不可抗力因素，在建设过程中确需对原规划许可进行变更的;(四)因法律、法规和政策发生变化，确需对原规划许可进行变更的;(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县级自然资源主管部门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1.按照“放管服”改革精神，地方自然资源主管部门可结合实际推行告知承诺制，制定免于许可或豁免许可清单。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2.按照用地审批与规划许可融合管理要求，依据《自然资源部 国家发展改革委 农业农村部关于保障和规范农村一二三产业融合发展用地的通知》（自然资发〔2021〕16号）规定，可合并办理乡村建设规划许可和建设用地批准手续；依据《农业农村部 自然资源部关于规范农村宅基地审批管理的通知》（农经发〔2019〕6号）规定，完善宅基地审批和建房规划许可联审联办制度。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3.审批程序中的向社会公示特指批前公示。</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4NjNjNmU2NmNmOTRmM2FjMWI4NDQ3MmQ4NDA5NTAifQ=="/>
  </w:docVars>
  <w:rsids>
    <w:rsidRoot w:val="4A1947CF"/>
    <w:rsid w:val="09D121EF"/>
    <w:rsid w:val="0B3D78BE"/>
    <w:rsid w:val="0BFA041A"/>
    <w:rsid w:val="188E6F10"/>
    <w:rsid w:val="259C22C1"/>
    <w:rsid w:val="29E0467D"/>
    <w:rsid w:val="491008FE"/>
    <w:rsid w:val="4A1947CF"/>
    <w:rsid w:val="4E075625"/>
    <w:rsid w:val="5BF537D5"/>
    <w:rsid w:val="61AD1AC4"/>
    <w:rsid w:val="6BBDDF19"/>
    <w:rsid w:val="73083B53"/>
    <w:rsid w:val="730E07EC"/>
    <w:rsid w:val="779F8A40"/>
    <w:rsid w:val="79EA42FE"/>
    <w:rsid w:val="BD4F4B7C"/>
    <w:rsid w:val="BFFF7595"/>
    <w:rsid w:val="F5F92EAF"/>
    <w:rsid w:val="F72FA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sz w:val="18"/>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qFormat/>
    <w:uiPriority w:val="0"/>
    <w:pPr>
      <w:snapToGrid w:val="0"/>
      <w:jc w:val="left"/>
    </w:pPr>
    <w:rPr>
      <w:sz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4455</Words>
  <Characters>4594</Characters>
  <Lines>0</Lines>
  <Paragraphs>0</Paragraphs>
  <TotalTime>2</TotalTime>
  <ScaleCrop>false</ScaleCrop>
  <LinksUpToDate>false</LinksUpToDate>
  <CharactersWithSpaces>4611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2018-07-12T07:11:00Z</dcterms:created>
  <dc:creator>d</dc:creator>
  <cp:lastModifiedBy>刘耀</cp:lastModifiedBy>
  <cp:lastPrinted>2023-08-03T07:33:48Z</cp:lastPrinted>
  <dcterms:modified xsi:type="dcterms:W3CDTF">2023-08-03T09:04:56Z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135A3FCBE9B04412BC00F85A6F881D88_12</vt:lpwstr>
  </property>
</Properties>
</file>